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25C30" w14:textId="160B96DB" w:rsidR="0005609B" w:rsidRPr="0005609B" w:rsidRDefault="0005609B" w:rsidP="0005609B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color w:val="000000"/>
          <w:kern w:val="0"/>
          <w:sz w:val="36"/>
          <w:szCs w:val="36"/>
          <w14:ligatures w14:val="none"/>
        </w:rPr>
      </w:pPr>
      <w:r w:rsidRPr="0005609B">
        <w:rPr>
          <w:rFonts w:ascii="Segoe UI" w:eastAsia="Times New Roman" w:hAnsi="Segoe UI" w:cs="Segoe UI"/>
          <w:b/>
          <w:bCs/>
          <w:color w:val="000000"/>
          <w:kern w:val="0"/>
          <w:sz w:val="36"/>
          <w:szCs w:val="36"/>
          <w14:ligatures w14:val="none"/>
        </w:rPr>
        <w:t>PRIVATE RESIDENCE</w:t>
      </w:r>
      <w:r>
        <w:rPr>
          <w:rFonts w:ascii="Segoe UI" w:eastAsia="Times New Roman" w:hAnsi="Segoe UI" w:cs="Segoe UI"/>
          <w:b/>
          <w:bCs/>
          <w:color w:val="000000"/>
          <w:kern w:val="0"/>
          <w:sz w:val="36"/>
          <w:szCs w:val="36"/>
          <w14:ligatures w14:val="none"/>
        </w:rPr>
        <w:t xml:space="preserve">/ BUSINESS </w:t>
      </w:r>
      <w:r w:rsidRPr="0005609B">
        <w:rPr>
          <w:rFonts w:ascii="Segoe UI" w:eastAsia="Times New Roman" w:hAnsi="Segoe UI" w:cs="Segoe UI"/>
          <w:b/>
          <w:bCs/>
          <w:color w:val="000000"/>
          <w:kern w:val="0"/>
          <w:sz w:val="36"/>
          <w:szCs w:val="36"/>
          <w14:ligatures w14:val="none"/>
        </w:rPr>
        <w:t>LIABILITY WAIVER</w:t>
      </w:r>
    </w:p>
    <w:p w14:paraId="061773FC" w14:textId="5FB143A4" w:rsidR="0005609B" w:rsidRPr="0005609B" w:rsidRDefault="0005609B" w:rsidP="0005609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05609B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WV</w:t>
      </w:r>
      <w:r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05609B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Paranormal Girl Investigations LLC</w:t>
      </w:r>
    </w:p>
    <w:p w14:paraId="4CC93628" w14:textId="13FA675F" w:rsidR="0005609B" w:rsidRPr="0005609B" w:rsidRDefault="0005609B" w:rsidP="0005609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05609B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This Liability Waiver (“Agreement”) is entered into by the undersigned </w:t>
      </w:r>
      <w:r w:rsidRPr="0005609B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Property Owner or Authorized Resident</w:t>
      </w:r>
      <w:r w:rsidRPr="0005609B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(“Owner”) in favor of </w:t>
      </w:r>
      <w:r w:rsidRPr="0005609B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WV</w:t>
      </w:r>
      <w:r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05609B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Paranormal Girl Investigations LLC</w:t>
      </w:r>
      <w:r w:rsidRPr="0005609B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, its owners, members, investigators, employees, volunteers, and agents (collectively, “WV Paranormal”).</w:t>
      </w:r>
    </w:p>
    <w:p w14:paraId="5E2F6B6E" w14:textId="77777777" w:rsidR="0005609B" w:rsidRPr="0005609B" w:rsidRDefault="00100556" w:rsidP="0005609B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>
        <w:rPr>
          <w:noProof/>
        </w:rPr>
      </w:r>
      <w:r w:rsidR="00100556">
        <w:rPr>
          <w:noProof/>
        </w:rPr>
        <w:pict w14:anchorId="623EEA1E">
          <v:rect id="Horizontal Line 1" o:spid="_x0000_s1035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C393F10" w14:textId="77777777" w:rsidR="0005609B" w:rsidRPr="0005609B" w:rsidRDefault="0005609B" w:rsidP="0005609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05609B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1. Permission to Investigate</w:t>
      </w:r>
    </w:p>
    <w:p w14:paraId="1B353C6E" w14:textId="085C6388" w:rsidR="0005609B" w:rsidRPr="0005609B" w:rsidRDefault="0005609B" w:rsidP="0005609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05609B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The Owner affirms that they are the legal owner of, or have full authority to grant access to, the private residence listed below and hereby </w:t>
      </w:r>
      <w:r w:rsidRPr="0005609B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grant permission</w:t>
      </w:r>
      <w:r w:rsidRPr="0005609B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to WV Paranormal Girl Investigations LLC to conduct a paranormal investigation on the premises.</w:t>
      </w:r>
    </w:p>
    <w:p w14:paraId="645C05DA" w14:textId="77777777" w:rsidR="0005609B" w:rsidRPr="0005609B" w:rsidRDefault="0005609B" w:rsidP="0005609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05609B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Property Address:</w:t>
      </w:r>
    </w:p>
    <w:p w14:paraId="39595762" w14:textId="77777777" w:rsidR="0005609B" w:rsidRPr="0005609B" w:rsidRDefault="00100556" w:rsidP="0005609B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>
        <w:rPr>
          <w:noProof/>
        </w:rPr>
      </w:r>
      <w:r w:rsidR="00100556">
        <w:rPr>
          <w:noProof/>
        </w:rPr>
        <w:pict w14:anchorId="5CEDCB89">
          <v:rect id="Horizontal Line 2" o:spid="_x0000_s1034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337A269D" w14:textId="77777777" w:rsidR="0005609B" w:rsidRPr="0005609B" w:rsidRDefault="00100556" w:rsidP="0005609B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>
        <w:rPr>
          <w:noProof/>
        </w:rPr>
      </w:r>
      <w:r w:rsidR="00100556">
        <w:rPr>
          <w:noProof/>
        </w:rPr>
        <w:pict w14:anchorId="57E6F623">
          <v:rect id="Horizontal Line 3" o:spid="_x0000_s1033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02830F8" w14:textId="77777777" w:rsidR="0005609B" w:rsidRPr="0005609B" w:rsidRDefault="0005609B" w:rsidP="0005609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05609B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2. No Guarantee of Paranormal Activity</w:t>
      </w:r>
    </w:p>
    <w:p w14:paraId="50EB956D" w14:textId="5B631ED6" w:rsidR="0005609B" w:rsidRPr="0005609B" w:rsidRDefault="0005609B" w:rsidP="0005609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05609B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Owner understands and agrees that </w:t>
      </w:r>
      <w:r w:rsidRPr="0005609B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WV Paranormal Girl Investigations LLC makes no guarantees</w:t>
      </w:r>
      <w:r w:rsidRPr="0005609B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regarding the presence, capture, discovery, documentation, or proof of paranormal activity, evidence, or experiences of any kind.</w:t>
      </w:r>
    </w:p>
    <w:p w14:paraId="78D04FD6" w14:textId="77777777" w:rsidR="0005609B" w:rsidRPr="0005609B" w:rsidRDefault="00100556" w:rsidP="0005609B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>
        <w:rPr>
          <w:noProof/>
        </w:rPr>
      </w:r>
      <w:r w:rsidR="00100556">
        <w:rPr>
          <w:noProof/>
        </w:rPr>
        <w:pict w14:anchorId="0189A664">
          <v:rect id="Horizontal Line 4" o:spid="_x0000_s1032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A93AB64" w14:textId="77777777" w:rsidR="0005609B" w:rsidRPr="0005609B" w:rsidRDefault="0005609B" w:rsidP="0005609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05609B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3. Assumption of Risk</w:t>
      </w:r>
    </w:p>
    <w:p w14:paraId="3E2315D6" w14:textId="77777777" w:rsidR="0005609B" w:rsidRPr="0005609B" w:rsidRDefault="0005609B" w:rsidP="0005609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05609B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Owner acknowledges that paranormal investigations may involve low</w:t>
      </w:r>
      <w:r w:rsidRPr="0005609B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noBreakHyphen/>
        <w:t>light conditions, movement throughout the residence, use of electronic or investigative equipment, and other activities that may carry inherent risks.</w:t>
      </w:r>
    </w:p>
    <w:p w14:paraId="63098BE8" w14:textId="77777777" w:rsidR="0005609B" w:rsidRPr="0005609B" w:rsidRDefault="0005609B" w:rsidP="0005609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05609B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Owner voluntarily and knowingly assumes </w:t>
      </w:r>
      <w:r w:rsidRPr="0005609B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all risks</w:t>
      </w:r>
      <w:r w:rsidRPr="0005609B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, known and unknown, associated with allowing a paranormal investigation to take place within the residence.</w:t>
      </w:r>
    </w:p>
    <w:p w14:paraId="004922F8" w14:textId="77777777" w:rsidR="0005609B" w:rsidRPr="0005609B" w:rsidRDefault="00100556" w:rsidP="0005609B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>
        <w:rPr>
          <w:noProof/>
        </w:rPr>
      </w:r>
      <w:r w:rsidR="00100556">
        <w:rPr>
          <w:noProof/>
        </w:rPr>
        <w:pict w14:anchorId="253C3A93">
          <v:rect id="Horizontal Line 5" o:spid="_x0000_s1031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0CF35D9" w14:textId="77777777" w:rsidR="0005609B" w:rsidRPr="0005609B" w:rsidRDefault="0005609B" w:rsidP="0005609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05609B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4. Release and Limitation of Liability</w:t>
      </w:r>
    </w:p>
    <w:p w14:paraId="785190AF" w14:textId="04A2EE0F" w:rsidR="0005609B" w:rsidRPr="0005609B" w:rsidRDefault="0005609B" w:rsidP="0005609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05609B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To the fullest extent permitted by law, Owner </w:t>
      </w:r>
      <w:r w:rsidRPr="0005609B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releases and holds harmless</w:t>
      </w:r>
      <w:r w:rsidRPr="0005609B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WV Paranormal Girl Investigations LLC and its team members from </w:t>
      </w:r>
      <w:r w:rsidRPr="0005609B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any and all claims, damages, losses, or injuries</w:t>
      </w:r>
      <w:r w:rsidRPr="0005609B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that may occur during or as a result of the investigation.</w:t>
      </w:r>
    </w:p>
    <w:p w14:paraId="6C288363" w14:textId="799361A7" w:rsidR="0005609B" w:rsidRPr="0005609B" w:rsidRDefault="0005609B" w:rsidP="0005609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05609B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This release </w:t>
      </w:r>
      <w:r w:rsidRPr="0005609B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does not apply</w:t>
      </w:r>
      <w:r w:rsidRPr="0005609B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to damage or injury </w:t>
      </w:r>
      <w:r w:rsidRPr="0005609B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directly caused by the negligence or willful misconduct</w:t>
      </w:r>
      <w:r w:rsidRPr="0005609B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of WV Paranormal Girl Investigations LLC or its team members.</w:t>
      </w:r>
    </w:p>
    <w:p w14:paraId="69455C15" w14:textId="77777777" w:rsidR="0005609B" w:rsidRPr="0005609B" w:rsidRDefault="00100556" w:rsidP="0005609B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>
        <w:rPr>
          <w:noProof/>
        </w:rPr>
      </w:r>
      <w:r w:rsidR="00100556">
        <w:rPr>
          <w:noProof/>
        </w:rPr>
        <w:pict w14:anchorId="030E92F9">
          <v:rect id="Horizontal Line 6" o:spid="_x0000_s1030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4EA79DB" w14:textId="77777777" w:rsidR="0005609B" w:rsidRPr="0005609B" w:rsidRDefault="0005609B" w:rsidP="0005609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05609B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5. Property Damage</w:t>
      </w:r>
    </w:p>
    <w:p w14:paraId="5251936F" w14:textId="26164A51" w:rsidR="0005609B" w:rsidRPr="0005609B" w:rsidRDefault="0005609B" w:rsidP="0005609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05609B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Owner agrees that WV Paranormal is </w:t>
      </w:r>
      <w:r w:rsidRPr="0005609B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not responsible for accidental damage</w:t>
      </w:r>
      <w:r w:rsidRPr="0005609B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to the residence, furnishings, or personal property that may occur during the investigation, </w:t>
      </w:r>
      <w:r w:rsidRPr="0005609B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unless such damage is caused by negligence</w:t>
      </w:r>
      <w:r w:rsidRPr="0005609B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.</w:t>
      </w:r>
    </w:p>
    <w:p w14:paraId="1E91F11A" w14:textId="402DC8A3" w:rsidR="0005609B" w:rsidRPr="0005609B" w:rsidRDefault="0005609B" w:rsidP="0005609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05609B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Owner further acknowledges that WV Paranormal is </w:t>
      </w:r>
      <w:r w:rsidRPr="0005609B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not responsible for pre</w:t>
      </w:r>
      <w:r w:rsidRPr="0005609B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noBreakHyphen/>
        <w:t>existing conditions</w:t>
      </w:r>
      <w:r w:rsidRPr="0005609B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of the property.</w:t>
      </w:r>
    </w:p>
    <w:p w14:paraId="5FDB3BE0" w14:textId="77777777" w:rsidR="0005609B" w:rsidRPr="0005609B" w:rsidRDefault="00100556" w:rsidP="0005609B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>
        <w:rPr>
          <w:noProof/>
        </w:rPr>
      </w:r>
      <w:r w:rsidR="00100556">
        <w:rPr>
          <w:noProof/>
        </w:rPr>
        <w:pict w14:anchorId="565E7FC9">
          <v:rect id="Horizontal Line 7" o:spid="_x0000_s1029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894DA83" w14:textId="77777777" w:rsidR="0005609B" w:rsidRPr="0005609B" w:rsidRDefault="0005609B" w:rsidP="0005609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05609B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6. Governing Law</w:t>
      </w:r>
    </w:p>
    <w:p w14:paraId="018FC124" w14:textId="77777777" w:rsidR="0005609B" w:rsidRPr="0005609B" w:rsidRDefault="0005609B" w:rsidP="0005609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05609B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This Agreement shall be governed by and interpreted in accordance with the laws of the </w:t>
      </w:r>
      <w:r w:rsidRPr="0005609B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State of West Virginia</w:t>
      </w:r>
      <w:r w:rsidRPr="0005609B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.</w:t>
      </w:r>
    </w:p>
    <w:p w14:paraId="02F124C6" w14:textId="77777777" w:rsidR="0005609B" w:rsidRPr="0005609B" w:rsidRDefault="00100556" w:rsidP="0005609B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>
        <w:rPr>
          <w:noProof/>
        </w:rPr>
      </w:r>
      <w:r w:rsidR="00100556">
        <w:rPr>
          <w:noProof/>
        </w:rPr>
        <w:pict w14:anchorId="2BF3C41B">
          <v:rect id="Horizontal Line 8" o:spid="_x0000_s1028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81C773A" w14:textId="77777777" w:rsidR="0005609B" w:rsidRPr="0005609B" w:rsidRDefault="0005609B" w:rsidP="0005609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05609B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7. Severability</w:t>
      </w:r>
    </w:p>
    <w:p w14:paraId="7716D35B" w14:textId="77777777" w:rsidR="0005609B" w:rsidRPr="0005609B" w:rsidRDefault="0005609B" w:rsidP="0005609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05609B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If any provision of this Agreement is found to be invalid or unenforceable, the remaining provisions shall continue in full force and effect.</w:t>
      </w:r>
    </w:p>
    <w:p w14:paraId="41B72F23" w14:textId="77777777" w:rsidR="0005609B" w:rsidRPr="0005609B" w:rsidRDefault="00100556" w:rsidP="0005609B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>
        <w:rPr>
          <w:noProof/>
        </w:rPr>
      </w:r>
      <w:r w:rsidR="00100556">
        <w:rPr>
          <w:noProof/>
        </w:rPr>
        <w:pict w14:anchorId="0B83543B">
          <v:rect id="Horizontal Line 9" o:spid="_x0000_s1027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B982CE7" w14:textId="77777777" w:rsidR="0005609B" w:rsidRPr="0005609B" w:rsidRDefault="0005609B" w:rsidP="0005609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05609B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8. Electronic Signature &amp; Acknowledgment</w:t>
      </w:r>
    </w:p>
    <w:p w14:paraId="07FF75EF" w14:textId="77777777" w:rsidR="0005609B" w:rsidRPr="0005609B" w:rsidRDefault="0005609B" w:rsidP="0005609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05609B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By signing below </w:t>
      </w:r>
      <w:r w:rsidRPr="0005609B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electronically or in writing</w:t>
      </w:r>
      <w:r w:rsidRPr="0005609B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, the Owner acknowledges that they have read and fully understand this Agreement, understand that they are waiving certain legal rights, and agree to be bound by its terms.</w:t>
      </w:r>
    </w:p>
    <w:p w14:paraId="6E5C0765" w14:textId="77777777" w:rsidR="0005609B" w:rsidRPr="0005609B" w:rsidRDefault="0005609B" w:rsidP="0005609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05609B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Electronic signatures shall have the </w:t>
      </w:r>
      <w:r w:rsidRPr="0005609B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same legal effect as handwritten signatures</w:t>
      </w:r>
      <w:r w:rsidRPr="0005609B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.</w:t>
      </w:r>
    </w:p>
    <w:p w14:paraId="5B94A906" w14:textId="77777777" w:rsidR="0005609B" w:rsidRPr="0005609B" w:rsidRDefault="00100556" w:rsidP="0005609B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>
        <w:rPr>
          <w:noProof/>
        </w:rPr>
      </w:r>
      <w:r w:rsidR="00100556">
        <w:rPr>
          <w:noProof/>
        </w:rPr>
        <w:pict w14:anchorId="0F453FC2">
          <v:rect id="Horizontal Line 10" o:spid="_x0000_s1026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125246B" w14:textId="77777777" w:rsidR="0005609B" w:rsidRPr="0005609B" w:rsidRDefault="0005609B" w:rsidP="0005609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05609B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PROPERTY OWNER / AUTHORIZED RESIDENT</w:t>
      </w:r>
    </w:p>
    <w:p w14:paraId="38F30386" w14:textId="77777777" w:rsidR="0005609B" w:rsidRPr="0005609B" w:rsidRDefault="0005609B" w:rsidP="0005609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05609B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Full Name:</w:t>
      </w:r>
      <w:r w:rsidRPr="0005609B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___________________________________________</w:t>
      </w:r>
    </w:p>
    <w:p w14:paraId="5DDAFFD3" w14:textId="77777777" w:rsidR="0005609B" w:rsidRPr="0005609B" w:rsidRDefault="0005609B" w:rsidP="0005609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05609B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Signature (Electronic or Written):</w:t>
      </w:r>
      <w:r w:rsidRPr="0005609B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_______________________</w:t>
      </w:r>
    </w:p>
    <w:p w14:paraId="35951AD1" w14:textId="77777777" w:rsidR="0005609B" w:rsidRPr="0005609B" w:rsidRDefault="0005609B" w:rsidP="0005609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05609B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Date:</w:t>
      </w:r>
      <w:r w:rsidRPr="0005609B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___________________</w:t>
      </w:r>
    </w:p>
    <w:p w14:paraId="20D9337F" w14:textId="4EC4B6AB" w:rsidR="0005609B" w:rsidRPr="0005609B" w:rsidRDefault="0005609B" w:rsidP="0005609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</w:p>
    <w:p w14:paraId="098F2D41" w14:textId="6A3566BE" w:rsidR="00B76E27" w:rsidRPr="00B76E27" w:rsidRDefault="00B76E27"/>
    <w:sectPr w:rsidR="00B76E27" w:rsidRPr="00B76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920C1"/>
    <w:multiLevelType w:val="multilevel"/>
    <w:tmpl w:val="965C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87404F"/>
    <w:multiLevelType w:val="multilevel"/>
    <w:tmpl w:val="B2F8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3662150">
    <w:abstractNumId w:val="0"/>
  </w:num>
  <w:num w:numId="2" w16cid:durableId="741417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27"/>
    <w:rsid w:val="0005609B"/>
    <w:rsid w:val="00100556"/>
    <w:rsid w:val="0012268F"/>
    <w:rsid w:val="008B0495"/>
    <w:rsid w:val="008F6468"/>
    <w:rsid w:val="00A10AFD"/>
    <w:rsid w:val="00B35A93"/>
    <w:rsid w:val="00B76E27"/>
    <w:rsid w:val="00D212D5"/>
    <w:rsid w:val="00EC72F2"/>
    <w:rsid w:val="00F3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4A1C02BE"/>
  <w15:chartTrackingRefBased/>
  <w15:docId w15:val="{3D6D0A97-C64E-C14E-887D-F17EB635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6E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E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6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76E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E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E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E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E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E27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76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E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E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E2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56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5609B"/>
    <w:rPr>
      <w:b/>
      <w:bCs/>
    </w:rPr>
  </w:style>
  <w:style w:type="character" w:customStyle="1" w:styleId="apple-converted-space">
    <w:name w:val="apple-converted-space"/>
    <w:basedOn w:val="DefaultParagraphFont"/>
    <w:rsid w:val="00056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Devan Young</dc:creator>
  <cp:keywords/>
  <dc:description/>
  <cp:lastModifiedBy>Devan Young</cp:lastModifiedBy>
  <cp:revision>2</cp:revision>
  <dcterms:created xsi:type="dcterms:W3CDTF">2026-03-22T15:03:00Z</dcterms:created>
  <dcterms:modified xsi:type="dcterms:W3CDTF">2026-03-22T15:03:00Z</dcterms:modified>
</cp:coreProperties>
</file>